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B4" w:rsidRDefault="002F06B4" w:rsidP="00827851">
      <w:pPr>
        <w:spacing w:after="120"/>
        <w:jc w:val="center"/>
        <w:rPr>
          <w:rFonts w:cstheme="minorHAnsi"/>
          <w:b/>
        </w:rPr>
      </w:pPr>
    </w:p>
    <w:p w:rsidR="007069C5" w:rsidRPr="002F06B4" w:rsidRDefault="007069C5" w:rsidP="00827851">
      <w:pPr>
        <w:spacing w:after="120"/>
        <w:jc w:val="center"/>
        <w:rPr>
          <w:rFonts w:cstheme="minorHAnsi"/>
          <w:b/>
        </w:rPr>
      </w:pPr>
      <w:r w:rsidRPr="002F06B4">
        <w:rPr>
          <w:rFonts w:cstheme="minorHAnsi"/>
          <w:b/>
        </w:rPr>
        <w:t>ESTADO DE SITUACIÓN DEL PROYECTO MISICUNI.</w:t>
      </w:r>
    </w:p>
    <w:p w:rsidR="00B3020E" w:rsidRPr="002F06B4" w:rsidRDefault="007069C5" w:rsidP="007069C5">
      <w:pPr>
        <w:spacing w:after="120"/>
        <w:jc w:val="right"/>
        <w:rPr>
          <w:rFonts w:cstheme="minorHAnsi"/>
        </w:rPr>
      </w:pPr>
      <w:r w:rsidRPr="002F06B4">
        <w:rPr>
          <w:rFonts w:cstheme="minorHAnsi"/>
        </w:rPr>
        <w:t>Cochabamba, 18 de abril de 2023</w:t>
      </w:r>
    </w:p>
    <w:p w:rsidR="002F06B4" w:rsidRPr="002F06B4" w:rsidRDefault="002F06B4" w:rsidP="002F06B4">
      <w:pPr>
        <w:spacing w:before="240" w:after="120"/>
        <w:ind w:left="426"/>
        <w:jc w:val="both"/>
        <w:rPr>
          <w:rFonts w:cstheme="minorHAnsi"/>
          <w:b/>
        </w:rPr>
      </w:pPr>
      <w:r w:rsidRPr="002F06B4">
        <w:rPr>
          <w:rFonts w:cstheme="minorHAnsi"/>
          <w:b/>
        </w:rPr>
        <w:t>Presentación.</w:t>
      </w:r>
    </w:p>
    <w:p w:rsidR="004A2C09" w:rsidRPr="002F06B4" w:rsidRDefault="004A2C09" w:rsidP="002F06B4">
      <w:pPr>
        <w:spacing w:before="240" w:after="120"/>
        <w:ind w:left="426"/>
        <w:jc w:val="both"/>
        <w:rPr>
          <w:rFonts w:cstheme="minorHAnsi"/>
        </w:rPr>
      </w:pPr>
      <w:r w:rsidRPr="002F06B4">
        <w:rPr>
          <w:rFonts w:cstheme="minorHAnsi"/>
        </w:rPr>
        <w:t>A partir de la reunión de Diálogos Al Café Marcos Escudero, los presentes recomendaron  socializar información sobre el Proyecto Múltiple Misicuni, que aún está inconcluso. Esta recomendación fue recogida por el C</w:t>
      </w:r>
      <w:r w:rsidR="00C840B7" w:rsidRPr="002F06B4">
        <w:rPr>
          <w:rFonts w:cstheme="minorHAnsi"/>
        </w:rPr>
        <w:t xml:space="preserve">lub Social </w:t>
      </w:r>
      <w:r w:rsidRPr="002F06B4">
        <w:rPr>
          <w:rFonts w:cstheme="minorHAnsi"/>
        </w:rPr>
        <w:t>Cochabamba promoviendo la elaboración de un documento que resuma el estado actual del Pro</w:t>
      </w:r>
      <w:r w:rsidR="00C840B7" w:rsidRPr="002F06B4">
        <w:rPr>
          <w:rFonts w:cstheme="minorHAnsi"/>
        </w:rPr>
        <w:t>y</w:t>
      </w:r>
      <w:r w:rsidRPr="002F06B4">
        <w:rPr>
          <w:rFonts w:cstheme="minorHAnsi"/>
        </w:rPr>
        <w:t xml:space="preserve">ecto, lo que ha sido posible gracias a la </w:t>
      </w:r>
      <w:r w:rsidR="00C840B7" w:rsidRPr="002F06B4">
        <w:rPr>
          <w:rFonts w:cstheme="minorHAnsi"/>
        </w:rPr>
        <w:t xml:space="preserve">contribución de </w:t>
      </w:r>
      <w:r w:rsidRPr="002F06B4">
        <w:rPr>
          <w:rFonts w:cstheme="minorHAnsi"/>
        </w:rPr>
        <w:t xml:space="preserve">varios </w:t>
      </w:r>
      <w:r w:rsidR="00C840B7" w:rsidRPr="002F06B4">
        <w:rPr>
          <w:rFonts w:cstheme="minorHAnsi"/>
        </w:rPr>
        <w:t>profesionales</w:t>
      </w:r>
      <w:r w:rsidRPr="002F06B4">
        <w:rPr>
          <w:rFonts w:cstheme="minorHAnsi"/>
        </w:rPr>
        <w:t xml:space="preserve"> con experiencia en esta temática.</w:t>
      </w:r>
    </w:p>
    <w:p w:rsidR="00C840B7" w:rsidRPr="002F06B4" w:rsidRDefault="004A2C09" w:rsidP="002F06B4">
      <w:pPr>
        <w:spacing w:before="240" w:after="120"/>
        <w:ind w:left="426"/>
        <w:jc w:val="both"/>
        <w:rPr>
          <w:rFonts w:cstheme="minorHAnsi"/>
        </w:rPr>
      </w:pPr>
      <w:r w:rsidRPr="002F06B4">
        <w:rPr>
          <w:rFonts w:cstheme="minorHAnsi"/>
        </w:rPr>
        <w:t xml:space="preserve">Queda </w:t>
      </w:r>
      <w:r w:rsidR="00C840B7" w:rsidRPr="002F06B4">
        <w:rPr>
          <w:rFonts w:cstheme="minorHAnsi"/>
        </w:rPr>
        <w:t xml:space="preserve">información </w:t>
      </w:r>
      <w:r w:rsidR="002F06B4" w:rsidRPr="002F06B4">
        <w:rPr>
          <w:rFonts w:cstheme="minorHAnsi"/>
        </w:rPr>
        <w:t xml:space="preserve"> por </w:t>
      </w:r>
      <w:r w:rsidRPr="002F06B4">
        <w:rPr>
          <w:rFonts w:cstheme="minorHAnsi"/>
        </w:rPr>
        <w:t xml:space="preserve">completar y analizar </w:t>
      </w:r>
      <w:r w:rsidR="00C840B7" w:rsidRPr="002F06B4">
        <w:rPr>
          <w:rFonts w:cstheme="minorHAnsi"/>
        </w:rPr>
        <w:t>lo que se logrará con los aportes de conocedores del Proyecto</w:t>
      </w:r>
      <w:r w:rsidR="002F06B4" w:rsidRPr="002F06B4">
        <w:rPr>
          <w:rFonts w:cstheme="minorHAnsi"/>
        </w:rPr>
        <w:t xml:space="preserve"> y en especial </w:t>
      </w:r>
      <w:r w:rsidRPr="002F06B4">
        <w:rPr>
          <w:rFonts w:cstheme="minorHAnsi"/>
        </w:rPr>
        <w:t>del actual Presidente del Proyecto Misicuni y anteriores presidentes</w:t>
      </w:r>
      <w:r w:rsidR="00C840B7" w:rsidRPr="002F06B4">
        <w:rPr>
          <w:rFonts w:cstheme="minorHAnsi"/>
        </w:rPr>
        <w:t>.</w:t>
      </w:r>
    </w:p>
    <w:p w:rsidR="008D48B4" w:rsidRPr="002F06B4" w:rsidRDefault="008D48B4" w:rsidP="002F06B4">
      <w:pPr>
        <w:pStyle w:val="Prrafodelista"/>
        <w:numPr>
          <w:ilvl w:val="0"/>
          <w:numId w:val="1"/>
        </w:numPr>
        <w:spacing w:before="240" w:after="120"/>
        <w:ind w:left="426" w:hanging="426"/>
        <w:jc w:val="both"/>
        <w:rPr>
          <w:rFonts w:cstheme="minorHAnsi"/>
          <w:b/>
        </w:rPr>
      </w:pPr>
      <w:r w:rsidRPr="002F06B4">
        <w:rPr>
          <w:rFonts w:cstheme="minorHAnsi"/>
          <w:b/>
        </w:rPr>
        <w:t>Información general</w:t>
      </w:r>
      <w:r w:rsidR="002F06B4" w:rsidRPr="002F06B4">
        <w:rPr>
          <w:rFonts w:cstheme="minorHAnsi"/>
          <w:b/>
        </w:rPr>
        <w:t>.</w:t>
      </w:r>
    </w:p>
    <w:p w:rsidR="007069C5" w:rsidRPr="002F06B4" w:rsidRDefault="007069C5" w:rsidP="008D48B4">
      <w:pPr>
        <w:spacing w:after="120"/>
        <w:ind w:left="426"/>
        <w:jc w:val="both"/>
        <w:rPr>
          <w:rFonts w:cstheme="minorHAnsi"/>
        </w:rPr>
      </w:pPr>
      <w:r w:rsidRPr="002F06B4">
        <w:rPr>
          <w:rFonts w:cstheme="minorHAnsi"/>
        </w:rPr>
        <w:t xml:space="preserve">El Proyecto Múltiple Misicuni es la </w:t>
      </w:r>
      <w:r w:rsidR="008D48B4" w:rsidRPr="002F06B4">
        <w:rPr>
          <w:rFonts w:cstheme="minorHAnsi"/>
        </w:rPr>
        <w:t>principal</w:t>
      </w:r>
      <w:r w:rsidRPr="002F06B4">
        <w:rPr>
          <w:rFonts w:cstheme="minorHAnsi"/>
        </w:rPr>
        <w:t xml:space="preserve"> obra que contempla el</w:t>
      </w:r>
      <w:r w:rsidR="008D48B4" w:rsidRPr="002F06B4">
        <w:rPr>
          <w:rFonts w:cstheme="minorHAnsi"/>
        </w:rPr>
        <w:t xml:space="preserve"> suministro de agua para consumo humano, riego y generación de electricidad de Cochabamba y Bolivia. </w:t>
      </w:r>
    </w:p>
    <w:p w:rsidR="00C840B7" w:rsidRPr="002F06B4" w:rsidRDefault="00EC084C" w:rsidP="008D48B4">
      <w:pPr>
        <w:spacing w:after="120"/>
        <w:ind w:left="426"/>
        <w:jc w:val="both"/>
        <w:rPr>
          <w:rFonts w:cstheme="minorHAnsi"/>
        </w:rPr>
      </w:pPr>
      <w:r w:rsidRPr="002F06B4">
        <w:rPr>
          <w:rFonts w:cstheme="minorHAnsi"/>
        </w:rPr>
        <w:t xml:space="preserve">Actualmente </w:t>
      </w:r>
      <w:r w:rsidR="007069C5" w:rsidRPr="002F06B4">
        <w:rPr>
          <w:rFonts w:cstheme="minorHAnsi"/>
        </w:rPr>
        <w:t xml:space="preserve">se </w:t>
      </w:r>
      <w:r w:rsidRPr="002F06B4">
        <w:rPr>
          <w:rFonts w:cstheme="minorHAnsi"/>
        </w:rPr>
        <w:t>ha concluido la</w:t>
      </w:r>
      <w:r w:rsidR="00827851" w:rsidRPr="002F06B4">
        <w:rPr>
          <w:rFonts w:cstheme="minorHAnsi"/>
        </w:rPr>
        <w:t xml:space="preserve"> </w:t>
      </w:r>
      <w:r w:rsidRPr="002F06B4">
        <w:rPr>
          <w:rFonts w:cstheme="minorHAnsi"/>
        </w:rPr>
        <w:t xml:space="preserve">fase </w:t>
      </w:r>
      <w:r w:rsidR="000B532E" w:rsidRPr="002F06B4">
        <w:rPr>
          <w:rFonts w:cstheme="minorHAnsi"/>
        </w:rPr>
        <w:t>de construcción</w:t>
      </w:r>
      <w:r w:rsidR="00827851" w:rsidRPr="002F06B4">
        <w:rPr>
          <w:rFonts w:cstheme="minorHAnsi"/>
        </w:rPr>
        <w:t xml:space="preserve"> </w:t>
      </w:r>
      <w:r w:rsidRPr="002F06B4">
        <w:rPr>
          <w:rFonts w:cstheme="minorHAnsi"/>
        </w:rPr>
        <w:t>del túnel, embalse, instalación de una central hidroeléctrica</w:t>
      </w:r>
      <w:r w:rsidR="00E0712D" w:rsidRPr="002F06B4">
        <w:rPr>
          <w:rFonts w:cstheme="minorHAnsi"/>
        </w:rPr>
        <w:t>, planta de tratamiento de agua potable</w:t>
      </w:r>
      <w:r w:rsidR="007069C5" w:rsidRPr="002F06B4">
        <w:rPr>
          <w:rFonts w:cstheme="minorHAnsi"/>
        </w:rPr>
        <w:t xml:space="preserve">, queda pendiente la construcción </w:t>
      </w:r>
      <w:r w:rsidR="00C840B7" w:rsidRPr="002F06B4">
        <w:rPr>
          <w:rFonts w:cstheme="minorHAnsi"/>
        </w:rPr>
        <w:t xml:space="preserve"> de un trasvase de las cuencas de Putucuni y Vizachas para garantizar agua ms allá de los próximos ocho años.</w:t>
      </w:r>
    </w:p>
    <w:p w:rsidR="00C840B7" w:rsidRPr="002F06B4" w:rsidRDefault="00C840B7" w:rsidP="002F06B4">
      <w:pPr>
        <w:spacing w:before="240" w:after="120"/>
        <w:ind w:left="426"/>
        <w:jc w:val="both"/>
        <w:rPr>
          <w:rFonts w:cstheme="minorHAnsi"/>
          <w:b/>
          <w:i/>
        </w:rPr>
      </w:pPr>
      <w:r w:rsidRPr="002F06B4">
        <w:rPr>
          <w:rFonts w:cstheme="minorHAnsi"/>
          <w:b/>
          <w:i/>
        </w:rPr>
        <w:t>Especificaciones técnicas.</w:t>
      </w:r>
    </w:p>
    <w:p w:rsidR="008D48B4" w:rsidRPr="002F06B4" w:rsidRDefault="00FD3D64" w:rsidP="008D48B4">
      <w:pPr>
        <w:spacing w:after="120"/>
        <w:ind w:left="426"/>
        <w:jc w:val="both"/>
        <w:rPr>
          <w:rFonts w:cstheme="minorHAnsi"/>
          <w:vertAlign w:val="superscript"/>
        </w:rPr>
      </w:pPr>
      <w:r w:rsidRPr="002F06B4">
        <w:rPr>
          <w:rFonts w:cstheme="minorHAnsi"/>
        </w:rPr>
        <w:t xml:space="preserve">El </w:t>
      </w:r>
      <w:r w:rsidR="008D48B4" w:rsidRPr="002F06B4">
        <w:rPr>
          <w:rFonts w:cstheme="minorHAnsi"/>
        </w:rPr>
        <w:t>embalse ocupa 4,6 Km</w:t>
      </w:r>
      <w:r w:rsidR="008D48B4" w:rsidRPr="002F06B4">
        <w:rPr>
          <w:rFonts w:cstheme="minorHAnsi"/>
          <w:vertAlign w:val="superscript"/>
        </w:rPr>
        <w:t>2</w:t>
      </w:r>
      <w:r w:rsidR="008D48B4" w:rsidRPr="002F06B4">
        <w:rPr>
          <w:rFonts w:cstheme="minorHAnsi"/>
        </w:rPr>
        <w:t xml:space="preserve"> de superficie</w:t>
      </w:r>
      <w:r w:rsidRPr="002F06B4">
        <w:rPr>
          <w:rFonts w:cstheme="minorHAnsi"/>
        </w:rPr>
        <w:t>. La presa es de c</w:t>
      </w:r>
      <w:r w:rsidR="008D48B4" w:rsidRPr="002F06B4">
        <w:rPr>
          <w:rFonts w:cstheme="minorHAnsi"/>
        </w:rPr>
        <w:t xml:space="preserve">oncreto </w:t>
      </w:r>
      <w:r w:rsidRPr="002F06B4">
        <w:rPr>
          <w:rFonts w:cstheme="minorHAnsi"/>
        </w:rPr>
        <w:t xml:space="preserve"> y tiene una altura de </w:t>
      </w:r>
      <w:r w:rsidR="008D48B4" w:rsidRPr="002F06B4">
        <w:rPr>
          <w:rFonts w:cstheme="minorHAnsi"/>
        </w:rPr>
        <w:t xml:space="preserve">120 metros </w:t>
      </w:r>
      <w:r w:rsidR="008D48B4" w:rsidRPr="002F06B4">
        <w:rPr>
          <w:rFonts w:cstheme="minorHAnsi"/>
          <w:highlight w:val="yellow"/>
        </w:rPr>
        <w:t xml:space="preserve">y </w:t>
      </w:r>
      <w:r w:rsidRPr="002F06B4">
        <w:rPr>
          <w:rFonts w:cstheme="minorHAnsi"/>
          <w:highlight w:val="yellow"/>
        </w:rPr>
        <w:t xml:space="preserve">una </w:t>
      </w:r>
      <w:r w:rsidR="008D48B4" w:rsidRPr="002F06B4">
        <w:rPr>
          <w:rFonts w:cstheme="minorHAnsi"/>
          <w:highlight w:val="yellow"/>
        </w:rPr>
        <w:t>490 metros de longitud,</w:t>
      </w:r>
      <w:r w:rsidR="008D48B4" w:rsidRPr="002F06B4">
        <w:rPr>
          <w:rFonts w:cstheme="minorHAnsi"/>
        </w:rPr>
        <w:t xml:space="preserve"> </w:t>
      </w:r>
      <w:r w:rsidRPr="002F06B4">
        <w:rPr>
          <w:rFonts w:cstheme="minorHAnsi"/>
        </w:rPr>
        <w:t xml:space="preserve">lo que permite una </w:t>
      </w:r>
      <w:r w:rsidR="008D48B4" w:rsidRPr="002F06B4">
        <w:rPr>
          <w:rFonts w:cstheme="minorHAnsi"/>
        </w:rPr>
        <w:t>capacitad de almacenamiento de 185.500.000 m</w:t>
      </w:r>
      <w:r w:rsidR="008D48B4" w:rsidRPr="002F06B4">
        <w:rPr>
          <w:rFonts w:cstheme="minorHAnsi"/>
          <w:vertAlign w:val="superscript"/>
        </w:rPr>
        <w:t xml:space="preserve">3, </w:t>
      </w:r>
      <w:r w:rsidR="008D48B4" w:rsidRPr="002F06B4">
        <w:rPr>
          <w:rFonts w:cstheme="minorHAnsi"/>
        </w:rPr>
        <w:t>de los cuales 30 millones</w:t>
      </w:r>
      <w:r w:rsidRPr="002F06B4">
        <w:rPr>
          <w:rFonts w:cstheme="minorHAnsi"/>
        </w:rPr>
        <w:t xml:space="preserve"> m</w:t>
      </w:r>
      <w:r w:rsidRPr="002F06B4">
        <w:rPr>
          <w:rFonts w:cstheme="minorHAnsi"/>
          <w:vertAlign w:val="superscript"/>
        </w:rPr>
        <w:t xml:space="preserve">3 </w:t>
      </w:r>
      <w:r w:rsidRPr="002F06B4">
        <w:rPr>
          <w:rFonts w:cstheme="minorHAnsi"/>
        </w:rPr>
        <w:t>es u</w:t>
      </w:r>
      <w:r w:rsidR="008D48B4" w:rsidRPr="002F06B4">
        <w:rPr>
          <w:rFonts w:cstheme="minorHAnsi"/>
        </w:rPr>
        <w:t>n volumen muerto</w:t>
      </w:r>
      <w:r w:rsidRPr="002F06B4">
        <w:rPr>
          <w:rFonts w:cstheme="minorHAnsi"/>
        </w:rPr>
        <w:t xml:space="preserve">. La </w:t>
      </w:r>
      <w:r w:rsidR="008D48B4" w:rsidRPr="002F06B4">
        <w:rPr>
          <w:rFonts w:cstheme="minorHAnsi"/>
        </w:rPr>
        <w:t>capacidad útil del embalse</w:t>
      </w:r>
      <w:r w:rsidRPr="002F06B4">
        <w:rPr>
          <w:rFonts w:cstheme="minorHAnsi"/>
        </w:rPr>
        <w:t xml:space="preserve"> es, por tanto, </w:t>
      </w:r>
      <w:r w:rsidR="008D48B4" w:rsidRPr="002F06B4">
        <w:rPr>
          <w:rFonts w:cstheme="minorHAnsi"/>
        </w:rPr>
        <w:t>de 155.500.000 m</w:t>
      </w:r>
      <w:r w:rsidR="008D48B4" w:rsidRPr="002F06B4">
        <w:rPr>
          <w:rFonts w:cstheme="minorHAnsi"/>
          <w:vertAlign w:val="superscript"/>
        </w:rPr>
        <w:t>3.</w:t>
      </w:r>
    </w:p>
    <w:p w:rsidR="008D48B4" w:rsidRPr="002F06B4" w:rsidRDefault="008D48B4" w:rsidP="008D48B4">
      <w:pPr>
        <w:spacing w:after="120"/>
        <w:ind w:left="426"/>
        <w:jc w:val="both"/>
        <w:rPr>
          <w:rFonts w:cstheme="minorHAnsi"/>
        </w:rPr>
      </w:pPr>
      <w:r w:rsidRPr="002F06B4">
        <w:rPr>
          <w:rFonts w:cstheme="minorHAnsi"/>
        </w:rPr>
        <w:t>La principal fuente de agua prov</w:t>
      </w:r>
      <w:r w:rsidR="00FD3D64" w:rsidRPr="002F06B4">
        <w:rPr>
          <w:rFonts w:cstheme="minorHAnsi"/>
        </w:rPr>
        <w:t>i</w:t>
      </w:r>
      <w:r w:rsidRPr="002F06B4">
        <w:rPr>
          <w:rFonts w:cstheme="minorHAnsi"/>
        </w:rPr>
        <w:t>ene</w:t>
      </w:r>
      <w:r w:rsidR="00FD3D64" w:rsidRPr="002F06B4">
        <w:rPr>
          <w:rFonts w:cstheme="minorHAnsi"/>
        </w:rPr>
        <w:t xml:space="preserve"> </w:t>
      </w:r>
      <w:r w:rsidRPr="002F06B4">
        <w:rPr>
          <w:rFonts w:cstheme="minorHAnsi"/>
        </w:rPr>
        <w:t>de los ríos Titiri, Serketa, Sivingani. Las aguas son transportadas desde la cordillera del Tunari, por medio de un túnel</w:t>
      </w:r>
      <w:r w:rsidR="00FD3D64" w:rsidRPr="002F06B4">
        <w:rPr>
          <w:rFonts w:cstheme="minorHAnsi"/>
        </w:rPr>
        <w:t xml:space="preserve"> con una diámetro </w:t>
      </w:r>
      <w:r w:rsidR="00FD3D64" w:rsidRPr="002F06B4">
        <w:rPr>
          <w:rFonts w:cstheme="minorHAnsi"/>
          <w:highlight w:val="yellow"/>
        </w:rPr>
        <w:t>de  . .  m</w:t>
      </w:r>
      <w:r w:rsidR="00FD3D64" w:rsidRPr="002F06B4">
        <w:rPr>
          <w:rFonts w:cstheme="minorHAnsi"/>
          <w:highlight w:val="yellow"/>
          <w:vertAlign w:val="superscript"/>
        </w:rPr>
        <w:t>2</w:t>
      </w:r>
      <w:r w:rsidRPr="002F06B4">
        <w:rPr>
          <w:rFonts w:cstheme="minorHAnsi"/>
        </w:rPr>
        <w:t xml:space="preserve"> revestido</w:t>
      </w:r>
      <w:r w:rsidR="00FD3D64" w:rsidRPr="002F06B4">
        <w:rPr>
          <w:rFonts w:cstheme="minorHAnsi"/>
        </w:rPr>
        <w:t xml:space="preserve"> con  </w:t>
      </w:r>
      <w:r w:rsidR="00FD3D64" w:rsidRPr="002F06B4">
        <w:rPr>
          <w:rFonts w:cstheme="minorHAnsi"/>
          <w:highlight w:val="yellow"/>
        </w:rPr>
        <w:t>.  .</w:t>
      </w:r>
      <w:r w:rsidRPr="002F06B4">
        <w:rPr>
          <w:rFonts w:cstheme="minorHAnsi"/>
        </w:rPr>
        <w:t xml:space="preserve"> </w:t>
      </w:r>
      <w:r w:rsidR="00FD3D64" w:rsidRPr="002F06B4">
        <w:rPr>
          <w:rFonts w:cstheme="minorHAnsi"/>
        </w:rPr>
        <w:t xml:space="preserve">, con una longitud de </w:t>
      </w:r>
      <w:r w:rsidRPr="002F06B4">
        <w:rPr>
          <w:rFonts w:cstheme="minorHAnsi"/>
        </w:rPr>
        <w:t xml:space="preserve">20 Kilómetros, </w:t>
      </w:r>
      <w:r w:rsidR="00FD3D64" w:rsidRPr="002F06B4">
        <w:rPr>
          <w:rFonts w:cstheme="minorHAnsi"/>
        </w:rPr>
        <w:t xml:space="preserve"> que </w:t>
      </w:r>
      <w:r w:rsidRPr="002F06B4">
        <w:rPr>
          <w:rFonts w:cstheme="minorHAnsi"/>
        </w:rPr>
        <w:t>puede transportar hasta 14, 7 m</w:t>
      </w:r>
      <w:r w:rsidRPr="002F06B4">
        <w:rPr>
          <w:rFonts w:cstheme="minorHAnsi"/>
          <w:vertAlign w:val="superscript"/>
        </w:rPr>
        <w:t>3</w:t>
      </w:r>
      <w:r w:rsidRPr="002F06B4">
        <w:rPr>
          <w:rFonts w:cstheme="minorHAnsi"/>
        </w:rPr>
        <w:t>/segundo de agua.</w:t>
      </w:r>
    </w:p>
    <w:p w:rsidR="008D48B4" w:rsidRPr="002F06B4" w:rsidRDefault="008D48B4" w:rsidP="007069C5">
      <w:pPr>
        <w:pStyle w:val="Prrafodelista"/>
        <w:numPr>
          <w:ilvl w:val="0"/>
          <w:numId w:val="1"/>
        </w:numPr>
        <w:spacing w:before="240" w:after="120"/>
        <w:ind w:left="426" w:hanging="426"/>
        <w:jc w:val="both"/>
        <w:rPr>
          <w:rFonts w:cstheme="minorHAnsi"/>
          <w:b/>
        </w:rPr>
      </w:pPr>
      <w:r w:rsidRPr="002F06B4">
        <w:rPr>
          <w:rFonts w:cstheme="minorHAnsi"/>
          <w:b/>
        </w:rPr>
        <w:t>Distribución de agua para consumo humano.</w:t>
      </w:r>
    </w:p>
    <w:p w:rsidR="00FD3D64" w:rsidRPr="002F06B4" w:rsidRDefault="008D48B4" w:rsidP="008D48B4">
      <w:pPr>
        <w:spacing w:after="120"/>
        <w:ind w:left="426"/>
        <w:jc w:val="both"/>
        <w:rPr>
          <w:rFonts w:cstheme="minorHAnsi"/>
        </w:rPr>
      </w:pPr>
      <w:r w:rsidRPr="002F06B4">
        <w:rPr>
          <w:rFonts w:cstheme="minorHAnsi"/>
        </w:rPr>
        <w:t xml:space="preserve">El embalse puede atender la demanda de agua y riego de los municipios del eje central metropolitano de Cochabamba y áreas circundantes, </w:t>
      </w:r>
      <w:r w:rsidR="00FD3D64" w:rsidRPr="002F06B4">
        <w:rPr>
          <w:rFonts w:cstheme="minorHAnsi"/>
        </w:rPr>
        <w:t xml:space="preserve">por </w:t>
      </w:r>
      <w:r w:rsidRPr="002F06B4">
        <w:rPr>
          <w:rFonts w:cstheme="minorHAnsi"/>
        </w:rPr>
        <w:t>los próximos 8 años</w:t>
      </w:r>
      <w:r w:rsidR="00FD3D64" w:rsidRPr="002F06B4">
        <w:rPr>
          <w:rFonts w:cstheme="minorHAnsi"/>
        </w:rPr>
        <w:t>.</w:t>
      </w:r>
    </w:p>
    <w:p w:rsidR="00FD3D64" w:rsidRPr="002F06B4" w:rsidRDefault="00FD3D64" w:rsidP="008D48B4">
      <w:pPr>
        <w:spacing w:after="120"/>
        <w:ind w:left="426"/>
        <w:jc w:val="both"/>
        <w:rPr>
          <w:rFonts w:cstheme="minorHAnsi"/>
        </w:rPr>
      </w:pPr>
      <w:r w:rsidRPr="002F06B4">
        <w:rPr>
          <w:rFonts w:cstheme="minorHAnsi"/>
        </w:rPr>
        <w:t>El retraso en la construcción de sistema de tratamiento y distribución imposibilita un aprovechamiento del agua disponible.</w:t>
      </w:r>
    </w:p>
    <w:p w:rsidR="002F06B4" w:rsidRDefault="002F06B4" w:rsidP="008D48B4">
      <w:pPr>
        <w:spacing w:after="120"/>
        <w:ind w:left="426"/>
        <w:jc w:val="both"/>
        <w:rPr>
          <w:rFonts w:cstheme="minorHAnsi"/>
          <w:b/>
          <w:i/>
        </w:rPr>
      </w:pPr>
    </w:p>
    <w:p w:rsidR="00C840B7" w:rsidRPr="002F06B4" w:rsidRDefault="00C840B7" w:rsidP="008D48B4">
      <w:pPr>
        <w:spacing w:after="120"/>
        <w:ind w:left="426"/>
        <w:jc w:val="both"/>
        <w:rPr>
          <w:rFonts w:cstheme="minorHAnsi"/>
          <w:b/>
          <w:i/>
        </w:rPr>
      </w:pPr>
      <w:r w:rsidRPr="002F06B4">
        <w:rPr>
          <w:rFonts w:cstheme="minorHAnsi"/>
          <w:b/>
          <w:i/>
        </w:rPr>
        <w:t>Distribución</w:t>
      </w:r>
    </w:p>
    <w:p w:rsidR="008D48B4" w:rsidRPr="002F06B4" w:rsidRDefault="00EC084C" w:rsidP="008D48B4">
      <w:pPr>
        <w:spacing w:after="120"/>
        <w:ind w:left="426"/>
        <w:jc w:val="both"/>
        <w:rPr>
          <w:rFonts w:cstheme="minorHAnsi"/>
        </w:rPr>
      </w:pPr>
      <w:r w:rsidRPr="002F06B4">
        <w:rPr>
          <w:rFonts w:cstheme="minorHAnsi"/>
        </w:rPr>
        <w:t xml:space="preserve">Para un aprovechamiento del agua </w:t>
      </w:r>
      <w:r w:rsidR="000E2C3C" w:rsidRPr="002F06B4">
        <w:rPr>
          <w:rFonts w:cstheme="minorHAnsi"/>
        </w:rPr>
        <w:t xml:space="preserve">para consumo humano </w:t>
      </w:r>
      <w:r w:rsidRPr="002F06B4">
        <w:rPr>
          <w:rFonts w:cstheme="minorHAnsi"/>
        </w:rPr>
        <w:t xml:space="preserve">se debe resolver problemas de distribución, lo que significa: </w:t>
      </w:r>
    </w:p>
    <w:p w:rsidR="008D48B4" w:rsidRPr="002F06B4" w:rsidRDefault="00D26B74" w:rsidP="008D48B4">
      <w:pPr>
        <w:pStyle w:val="Prrafodelista"/>
        <w:numPr>
          <w:ilvl w:val="0"/>
          <w:numId w:val="2"/>
        </w:numPr>
        <w:spacing w:after="120"/>
        <w:jc w:val="both"/>
        <w:rPr>
          <w:rFonts w:cstheme="minorHAnsi"/>
          <w:shd w:val="clear" w:color="auto" w:fill="FFFFFF"/>
        </w:rPr>
      </w:pPr>
      <w:r w:rsidRPr="002F06B4">
        <w:rPr>
          <w:rFonts w:cstheme="minorHAnsi"/>
        </w:rPr>
        <w:t>La conclusión de las aducciones No. 1</w:t>
      </w:r>
      <w:r w:rsidR="00827851" w:rsidRPr="002F06B4">
        <w:rPr>
          <w:rFonts w:cstheme="minorHAnsi"/>
        </w:rPr>
        <w:t>,</w:t>
      </w:r>
      <w:r w:rsidRPr="002F06B4">
        <w:rPr>
          <w:rFonts w:cstheme="minorHAnsi"/>
        </w:rPr>
        <w:t xml:space="preserve"> que cruza desde Molle Molle (zona Norte de El Paso) hacia Tiquipaya – Cochabamba - Sacaba y </w:t>
      </w:r>
    </w:p>
    <w:p w:rsidR="00827851" w:rsidRPr="002F06B4" w:rsidRDefault="008D48B4" w:rsidP="008D48B4">
      <w:pPr>
        <w:pStyle w:val="Prrafodelista"/>
        <w:numPr>
          <w:ilvl w:val="0"/>
          <w:numId w:val="2"/>
        </w:numPr>
        <w:spacing w:after="120"/>
        <w:jc w:val="both"/>
        <w:rPr>
          <w:rFonts w:cstheme="minorHAnsi"/>
          <w:shd w:val="clear" w:color="auto" w:fill="FFFFFF"/>
        </w:rPr>
      </w:pPr>
      <w:r w:rsidRPr="002F06B4">
        <w:rPr>
          <w:rFonts w:cstheme="minorHAnsi"/>
        </w:rPr>
        <w:t>L</w:t>
      </w:r>
      <w:r w:rsidR="00D26B74" w:rsidRPr="002F06B4">
        <w:rPr>
          <w:rFonts w:cstheme="minorHAnsi"/>
        </w:rPr>
        <w:t xml:space="preserve">a </w:t>
      </w:r>
      <w:r w:rsidR="00827851" w:rsidRPr="002F06B4">
        <w:rPr>
          <w:rFonts w:cstheme="minorHAnsi"/>
        </w:rPr>
        <w:t xml:space="preserve">aducción </w:t>
      </w:r>
      <w:r w:rsidR="00D26B74" w:rsidRPr="002F06B4">
        <w:rPr>
          <w:rFonts w:cstheme="minorHAnsi"/>
        </w:rPr>
        <w:t>No.2</w:t>
      </w:r>
      <w:r w:rsidR="00827851" w:rsidRPr="002F06B4">
        <w:rPr>
          <w:rFonts w:cstheme="minorHAnsi"/>
        </w:rPr>
        <w:t xml:space="preserve">,  </w:t>
      </w:r>
      <w:r w:rsidR="00667299" w:rsidRPr="002F06B4">
        <w:rPr>
          <w:rFonts w:cstheme="minorHAnsi"/>
        </w:rPr>
        <w:t xml:space="preserve">desde la </w:t>
      </w:r>
      <w:r w:rsidR="00667299" w:rsidRPr="002F06B4">
        <w:rPr>
          <w:rFonts w:cstheme="minorHAnsi"/>
          <w:shd w:val="clear" w:color="auto" w:fill="FFFFFF"/>
        </w:rPr>
        <w:t>planta tratamiento de agua potable Jove Rancho – Colcapirhua</w:t>
      </w:r>
      <w:r w:rsidR="00827851" w:rsidRPr="002F06B4">
        <w:rPr>
          <w:rFonts w:cstheme="minorHAnsi"/>
          <w:shd w:val="clear" w:color="auto" w:fill="FFFFFF"/>
        </w:rPr>
        <w:t xml:space="preserve"> </w:t>
      </w:r>
      <w:r w:rsidR="00667299" w:rsidRPr="002F06B4">
        <w:rPr>
          <w:rFonts w:cstheme="minorHAnsi"/>
          <w:shd w:val="clear" w:color="auto" w:fill="FFFFFF"/>
        </w:rPr>
        <w:t>-</w:t>
      </w:r>
      <w:r w:rsidR="00827851" w:rsidRPr="002F06B4">
        <w:rPr>
          <w:rFonts w:cstheme="minorHAnsi"/>
          <w:shd w:val="clear" w:color="auto" w:fill="FFFFFF"/>
        </w:rPr>
        <w:t xml:space="preserve"> </w:t>
      </w:r>
      <w:r w:rsidR="00667299" w:rsidRPr="002F06B4">
        <w:rPr>
          <w:rFonts w:cstheme="minorHAnsi"/>
          <w:shd w:val="clear" w:color="auto" w:fill="FFFFFF"/>
        </w:rPr>
        <w:t xml:space="preserve">Zona Sur de Cochabamba. </w:t>
      </w:r>
    </w:p>
    <w:p w:rsidR="008D48B4" w:rsidRPr="002F06B4" w:rsidRDefault="00827851" w:rsidP="008D48B4">
      <w:pPr>
        <w:spacing w:after="120"/>
        <w:ind w:left="426"/>
        <w:jc w:val="both"/>
        <w:rPr>
          <w:rFonts w:cstheme="minorHAnsi"/>
        </w:rPr>
      </w:pPr>
      <w:r w:rsidRPr="002F06B4">
        <w:rPr>
          <w:rFonts w:cstheme="minorHAnsi"/>
          <w:shd w:val="clear" w:color="auto" w:fill="FFFFFF"/>
        </w:rPr>
        <w:t xml:space="preserve">Lo anterior </w:t>
      </w:r>
      <w:r w:rsidR="00EC084C" w:rsidRPr="002F06B4">
        <w:rPr>
          <w:rFonts w:cstheme="minorHAnsi"/>
        </w:rPr>
        <w:t xml:space="preserve">pasa por acuerdos </w:t>
      </w:r>
      <w:r w:rsidR="001D0A88" w:rsidRPr="002F06B4">
        <w:rPr>
          <w:rFonts w:cstheme="minorHAnsi"/>
        </w:rPr>
        <w:t xml:space="preserve">entre </w:t>
      </w:r>
      <w:r w:rsidR="00EC084C" w:rsidRPr="002F06B4">
        <w:rPr>
          <w:rFonts w:cstheme="minorHAnsi"/>
        </w:rPr>
        <w:t>SEMAPA</w:t>
      </w:r>
      <w:r w:rsidR="0052179D" w:rsidRPr="002F06B4">
        <w:rPr>
          <w:rFonts w:cstheme="minorHAnsi"/>
        </w:rPr>
        <w:t xml:space="preserve"> y la Empresa Misicuni, </w:t>
      </w:r>
      <w:r w:rsidR="001D0A88" w:rsidRPr="002F06B4">
        <w:rPr>
          <w:rFonts w:cstheme="minorHAnsi"/>
        </w:rPr>
        <w:t xml:space="preserve">para la distribución </w:t>
      </w:r>
      <w:r w:rsidR="0052179D" w:rsidRPr="002F06B4">
        <w:rPr>
          <w:rFonts w:cstheme="minorHAnsi"/>
        </w:rPr>
        <w:t>para la ciudad de Cochabamba</w:t>
      </w:r>
      <w:r w:rsidR="001D0A88" w:rsidRPr="002F06B4">
        <w:rPr>
          <w:rFonts w:cstheme="minorHAnsi"/>
        </w:rPr>
        <w:t xml:space="preserve"> </w:t>
      </w:r>
      <w:r w:rsidR="008D48B4" w:rsidRPr="002F06B4">
        <w:rPr>
          <w:rFonts w:cstheme="minorHAnsi"/>
        </w:rPr>
        <w:t>y</w:t>
      </w:r>
      <w:r w:rsidR="001D0A88" w:rsidRPr="002F06B4">
        <w:rPr>
          <w:rFonts w:cstheme="minorHAnsi"/>
        </w:rPr>
        <w:t xml:space="preserve"> entre el </w:t>
      </w:r>
      <w:r w:rsidR="00EC084C" w:rsidRPr="002F06B4">
        <w:rPr>
          <w:rFonts w:cstheme="minorHAnsi"/>
        </w:rPr>
        <w:t>Gobierno Central</w:t>
      </w:r>
      <w:r w:rsidR="001D0A88" w:rsidRPr="002F06B4">
        <w:rPr>
          <w:rFonts w:cstheme="minorHAnsi"/>
        </w:rPr>
        <w:t xml:space="preserve"> con los otros municipios</w:t>
      </w:r>
      <w:r w:rsidR="008D48B4" w:rsidRPr="002F06B4">
        <w:rPr>
          <w:rFonts w:cstheme="minorHAnsi"/>
        </w:rPr>
        <w:t xml:space="preserve"> </w:t>
      </w:r>
      <w:r w:rsidR="0052179D" w:rsidRPr="002F06B4">
        <w:rPr>
          <w:rFonts w:cstheme="minorHAnsi"/>
        </w:rPr>
        <w:t>para el financiamiento de las redes de suministro de agua potable en los Municipios de Sacaba, Colcapirhua, Tiquipaya</w:t>
      </w:r>
      <w:r w:rsidR="008D48B4" w:rsidRPr="002F06B4">
        <w:rPr>
          <w:rFonts w:cstheme="minorHAnsi"/>
        </w:rPr>
        <w:t xml:space="preserve"> y</w:t>
      </w:r>
      <w:r w:rsidR="0052179D" w:rsidRPr="002F06B4">
        <w:rPr>
          <w:rFonts w:cstheme="minorHAnsi"/>
        </w:rPr>
        <w:t xml:space="preserve"> Quillacollo</w:t>
      </w:r>
      <w:r w:rsidR="008D48B4" w:rsidRPr="002F06B4">
        <w:rPr>
          <w:rFonts w:cstheme="minorHAnsi"/>
        </w:rPr>
        <w:t>.</w:t>
      </w:r>
    </w:p>
    <w:p w:rsidR="008D48B4" w:rsidRPr="002F06B4" w:rsidRDefault="008D48B4" w:rsidP="007069C5">
      <w:pPr>
        <w:pStyle w:val="Prrafodelista"/>
        <w:numPr>
          <w:ilvl w:val="0"/>
          <w:numId w:val="1"/>
        </w:numPr>
        <w:spacing w:before="240" w:after="120"/>
        <w:ind w:left="426" w:hanging="426"/>
        <w:jc w:val="both"/>
        <w:rPr>
          <w:rFonts w:cstheme="minorHAnsi"/>
          <w:b/>
        </w:rPr>
      </w:pPr>
      <w:r w:rsidRPr="002F06B4">
        <w:rPr>
          <w:rFonts w:cstheme="minorHAnsi"/>
          <w:b/>
        </w:rPr>
        <w:t>Componente riego.</w:t>
      </w:r>
    </w:p>
    <w:p w:rsidR="00EC084C" w:rsidRPr="002F06B4" w:rsidRDefault="00EC084C" w:rsidP="008D48B4">
      <w:pPr>
        <w:spacing w:after="120"/>
        <w:ind w:left="426"/>
        <w:jc w:val="both"/>
        <w:rPr>
          <w:rFonts w:cstheme="minorHAnsi"/>
        </w:rPr>
      </w:pPr>
      <w:r w:rsidRPr="002F06B4">
        <w:rPr>
          <w:rFonts w:cstheme="minorHAnsi"/>
        </w:rPr>
        <w:t>El componente riego confronta los problemas de disminución de áreas agrícolas y acuerdos con los productores agropecuarios</w:t>
      </w:r>
      <w:r w:rsidR="0050505C" w:rsidRPr="002F06B4">
        <w:rPr>
          <w:rFonts w:cstheme="minorHAnsi"/>
        </w:rPr>
        <w:t>, además de definir y construir la infraestructura principal de distribución</w:t>
      </w:r>
      <w:r w:rsidRPr="002F06B4">
        <w:rPr>
          <w:rFonts w:cstheme="minorHAnsi"/>
        </w:rPr>
        <w:t>.</w:t>
      </w:r>
    </w:p>
    <w:p w:rsidR="0091283E" w:rsidRPr="002F06B4" w:rsidRDefault="0091283E" w:rsidP="007069C5">
      <w:pPr>
        <w:pStyle w:val="Prrafodelista"/>
        <w:numPr>
          <w:ilvl w:val="0"/>
          <w:numId w:val="1"/>
        </w:numPr>
        <w:spacing w:before="240" w:after="120"/>
        <w:ind w:left="426" w:hanging="426"/>
        <w:jc w:val="both"/>
        <w:rPr>
          <w:rFonts w:cstheme="minorHAnsi"/>
          <w:b/>
        </w:rPr>
      </w:pPr>
      <w:r w:rsidRPr="002F06B4">
        <w:rPr>
          <w:rFonts w:cstheme="minorHAnsi"/>
          <w:b/>
        </w:rPr>
        <w:t>Componente electricidad</w:t>
      </w:r>
    </w:p>
    <w:p w:rsidR="001E489D" w:rsidRPr="002F06B4" w:rsidRDefault="00EC084C" w:rsidP="0091283E">
      <w:pPr>
        <w:spacing w:after="120"/>
        <w:ind w:left="426"/>
        <w:jc w:val="both"/>
        <w:rPr>
          <w:rFonts w:cstheme="minorHAnsi"/>
        </w:rPr>
      </w:pPr>
      <w:r w:rsidRPr="002F06B4">
        <w:rPr>
          <w:rFonts w:cstheme="minorHAnsi"/>
        </w:rPr>
        <w:t>El componente electricidad depende de la política energética del país, dentro de la cual la fijación de precios del gas es determinante.</w:t>
      </w:r>
      <w:r w:rsidR="0050505C" w:rsidRPr="002F06B4">
        <w:rPr>
          <w:rFonts w:cstheme="minorHAnsi"/>
        </w:rPr>
        <w:t xml:space="preserve"> Este componente</w:t>
      </w:r>
      <w:r w:rsidR="004A210B" w:rsidRPr="002F06B4">
        <w:rPr>
          <w:rFonts w:cstheme="minorHAnsi"/>
        </w:rPr>
        <w:t>, cuenta con una Central Hidro</w:t>
      </w:r>
      <w:r w:rsidR="001E489D" w:rsidRPr="002F06B4">
        <w:rPr>
          <w:rFonts w:cstheme="minorHAnsi"/>
        </w:rPr>
        <w:t>e</w:t>
      </w:r>
      <w:r w:rsidR="004A210B" w:rsidRPr="002F06B4">
        <w:rPr>
          <w:rFonts w:cstheme="minorHAnsi"/>
        </w:rPr>
        <w:t>léctrica con capacidad de generación de 120 MW,</w:t>
      </w:r>
      <w:r w:rsidR="005E1DDC" w:rsidRPr="002F06B4">
        <w:rPr>
          <w:rFonts w:cstheme="minorHAnsi"/>
        </w:rPr>
        <w:t xml:space="preserve"> que ha tenido un </w:t>
      </w:r>
      <w:r w:rsidR="005E1DDC" w:rsidRPr="002F06B4">
        <w:rPr>
          <w:rFonts w:cstheme="minorHAnsi"/>
          <w:highlight w:val="yellow"/>
        </w:rPr>
        <w:t>costo de  . . .</w:t>
      </w:r>
      <w:r w:rsidR="005E1DDC" w:rsidRPr="002F06B4">
        <w:rPr>
          <w:rFonts w:cstheme="minorHAnsi"/>
        </w:rPr>
        <w:t xml:space="preserve"> millones de dólares. Cuenta con </w:t>
      </w:r>
      <w:r w:rsidR="004A210B" w:rsidRPr="002F06B4">
        <w:rPr>
          <w:rFonts w:cstheme="minorHAnsi"/>
        </w:rPr>
        <w:t xml:space="preserve"> tres turbinas Pelton</w:t>
      </w:r>
      <w:r w:rsidR="005E1DDC" w:rsidRPr="002F06B4">
        <w:rPr>
          <w:rFonts w:cstheme="minorHAnsi"/>
        </w:rPr>
        <w:t xml:space="preserve">, </w:t>
      </w:r>
      <w:r w:rsidR="001E489D" w:rsidRPr="002F06B4">
        <w:rPr>
          <w:rFonts w:cstheme="minorHAnsi"/>
        </w:rPr>
        <w:t>cada una de 40 MW</w:t>
      </w:r>
      <w:r w:rsidR="005E1DDC" w:rsidRPr="002F06B4">
        <w:rPr>
          <w:rFonts w:cstheme="minorHAnsi"/>
        </w:rPr>
        <w:t xml:space="preserve">. El proyecto tiene previsto generar </w:t>
      </w:r>
      <w:r w:rsidR="001E489D" w:rsidRPr="002F06B4">
        <w:rPr>
          <w:rFonts w:cstheme="minorHAnsi"/>
        </w:rPr>
        <w:t>anualmente l217 GWh.</w:t>
      </w:r>
    </w:p>
    <w:p w:rsidR="0091283E" w:rsidRPr="002F06B4" w:rsidRDefault="0091283E" w:rsidP="0091283E">
      <w:pPr>
        <w:spacing w:after="120"/>
        <w:ind w:left="426"/>
        <w:jc w:val="both"/>
        <w:rPr>
          <w:rFonts w:cstheme="minorHAnsi"/>
          <w:b/>
          <w:i/>
        </w:rPr>
      </w:pPr>
      <w:r w:rsidRPr="002F06B4">
        <w:rPr>
          <w:rFonts w:cstheme="minorHAnsi"/>
          <w:b/>
          <w:i/>
        </w:rPr>
        <w:t>Subutilización de la Central Hidroeléctrica.</w:t>
      </w:r>
    </w:p>
    <w:p w:rsidR="00F90D49" w:rsidRPr="002F06B4" w:rsidRDefault="005E1DDC" w:rsidP="0091283E">
      <w:pPr>
        <w:spacing w:after="120"/>
        <w:ind w:left="426"/>
        <w:jc w:val="both"/>
        <w:rPr>
          <w:rFonts w:cstheme="minorHAnsi"/>
        </w:rPr>
      </w:pPr>
      <w:r w:rsidRPr="002F06B4">
        <w:rPr>
          <w:rFonts w:cstheme="minorHAnsi"/>
        </w:rPr>
        <w:t>Actualmente la Central Hidroeléctrica funciona un máximo de 4 horas al día</w:t>
      </w:r>
      <w:r w:rsidR="00F90D49" w:rsidRPr="002F06B4">
        <w:rPr>
          <w:rFonts w:cstheme="minorHAnsi"/>
        </w:rPr>
        <w:t xml:space="preserve"> para lo que utiliza </w:t>
      </w:r>
      <w:r w:rsidRPr="002F06B4">
        <w:rPr>
          <w:rFonts w:cstheme="minorHAnsi"/>
        </w:rPr>
        <w:t>algo más de un metro cúbico por segundo, que sale de las turbinas</w:t>
      </w:r>
      <w:r w:rsidR="00F90D49" w:rsidRPr="002F06B4">
        <w:rPr>
          <w:rFonts w:cstheme="minorHAnsi"/>
        </w:rPr>
        <w:t xml:space="preserve"> y que, si no se aprovecha para consumo humano o riego, </w:t>
      </w:r>
      <w:r w:rsidRPr="002F06B4">
        <w:rPr>
          <w:rFonts w:cstheme="minorHAnsi"/>
        </w:rPr>
        <w:t>debe desfogarse a los ríos Chijllawiri y Chocaya</w:t>
      </w:r>
      <w:r w:rsidR="00F90D49" w:rsidRPr="002F06B4">
        <w:rPr>
          <w:rFonts w:cstheme="minorHAnsi"/>
        </w:rPr>
        <w:t>.</w:t>
      </w:r>
    </w:p>
    <w:p w:rsidR="00B81236" w:rsidRPr="002F06B4" w:rsidRDefault="00B81236" w:rsidP="007069C5">
      <w:pPr>
        <w:pStyle w:val="Prrafodelista"/>
        <w:numPr>
          <w:ilvl w:val="0"/>
          <w:numId w:val="1"/>
        </w:numPr>
        <w:spacing w:before="240" w:after="120"/>
        <w:ind w:left="426" w:hanging="426"/>
        <w:jc w:val="both"/>
        <w:rPr>
          <w:rFonts w:cstheme="minorHAnsi"/>
          <w:b/>
        </w:rPr>
      </w:pPr>
      <w:r w:rsidRPr="002F06B4">
        <w:rPr>
          <w:rFonts w:cstheme="minorHAnsi"/>
          <w:b/>
        </w:rPr>
        <w:t>Institucionalidad del Proyecto.</w:t>
      </w:r>
    </w:p>
    <w:p w:rsidR="00F90D49" w:rsidRPr="002F06B4" w:rsidRDefault="00B81236" w:rsidP="00B81236">
      <w:pPr>
        <w:spacing w:after="120"/>
        <w:ind w:left="426"/>
        <w:jc w:val="both"/>
        <w:rPr>
          <w:rFonts w:cstheme="minorHAnsi"/>
        </w:rPr>
      </w:pPr>
      <w:r w:rsidRPr="002F06B4">
        <w:rPr>
          <w:rFonts w:cstheme="minorHAnsi"/>
        </w:rPr>
        <w:t>El proyecto está normado por  (Documento que norma la estructura de Misicu</w:t>
      </w:r>
      <w:r w:rsidR="00F90D49" w:rsidRPr="002F06B4">
        <w:rPr>
          <w:rFonts w:cstheme="minorHAnsi"/>
        </w:rPr>
        <w:t>n</w:t>
      </w:r>
      <w:r w:rsidRPr="002F06B4">
        <w:rPr>
          <w:rFonts w:cstheme="minorHAnsi"/>
        </w:rPr>
        <w:t>i)</w:t>
      </w:r>
      <w:r w:rsidR="00F90D49" w:rsidRPr="002F06B4">
        <w:rPr>
          <w:rFonts w:cstheme="minorHAnsi"/>
        </w:rPr>
        <w:t xml:space="preserve"> que establece como ente directivo un Directorio, conformado por las siguientes instituciones: ENDE, Gobernación de Cochabamba, Ministerio de Hidrocarburos </w:t>
      </w:r>
      <w:r w:rsidR="00F90D49" w:rsidRPr="002F06B4">
        <w:rPr>
          <w:rFonts w:cstheme="minorHAnsi"/>
          <w:highlight w:val="yellow"/>
        </w:rPr>
        <w:t xml:space="preserve">y Energía, . . . .  </w:t>
      </w:r>
      <w:r w:rsidR="007069C5" w:rsidRPr="002F06B4">
        <w:rPr>
          <w:rFonts w:cstheme="minorHAnsi"/>
          <w:highlight w:val="yellow"/>
        </w:rPr>
        <w:t xml:space="preserve">. . . . . . . . </w:t>
      </w:r>
      <w:r w:rsidR="00F90D49" w:rsidRPr="002F06B4">
        <w:rPr>
          <w:rFonts w:cstheme="minorHAnsi"/>
          <w:highlight w:val="yellow"/>
        </w:rPr>
        <w:t>que</w:t>
      </w:r>
      <w:r w:rsidR="00F90D49" w:rsidRPr="002F06B4">
        <w:rPr>
          <w:rFonts w:cstheme="minorHAnsi"/>
        </w:rPr>
        <w:t xml:space="preserve"> tiene la responsabilidad </w:t>
      </w:r>
      <w:r w:rsidR="00F90D49" w:rsidRPr="002F06B4">
        <w:rPr>
          <w:rFonts w:cstheme="minorHAnsi"/>
          <w:highlight w:val="yellow"/>
        </w:rPr>
        <w:t xml:space="preserve">de  </w:t>
      </w:r>
      <w:r w:rsidR="007069C5" w:rsidRPr="002F06B4">
        <w:rPr>
          <w:rFonts w:cstheme="minorHAnsi"/>
          <w:highlight w:val="yellow"/>
        </w:rPr>
        <w:t xml:space="preserve">(completar el texto). . . </w:t>
      </w:r>
      <w:r w:rsidR="00F90D49" w:rsidRPr="002F06B4">
        <w:rPr>
          <w:rFonts w:cstheme="minorHAnsi"/>
          <w:highlight w:val="yellow"/>
        </w:rPr>
        <w:t>. .</w:t>
      </w:r>
      <w:r w:rsidR="00F90D49" w:rsidRPr="002F06B4">
        <w:rPr>
          <w:rFonts w:cstheme="minorHAnsi"/>
        </w:rPr>
        <w:t xml:space="preserve">   para lo que sus competencias son:</w:t>
      </w:r>
      <w:r w:rsidR="007069C5" w:rsidRPr="002F06B4">
        <w:rPr>
          <w:rFonts w:cstheme="minorHAnsi"/>
        </w:rPr>
        <w:t xml:space="preserve"> . . </w:t>
      </w:r>
      <w:r w:rsidR="007069C5" w:rsidRPr="002F06B4">
        <w:rPr>
          <w:rFonts w:cstheme="minorHAnsi"/>
          <w:highlight w:val="yellow"/>
        </w:rPr>
        <w:t>(completar el texto).</w:t>
      </w:r>
    </w:p>
    <w:p w:rsidR="00C840B7" w:rsidRPr="002F06B4" w:rsidRDefault="00C840B7" w:rsidP="00B81236">
      <w:pPr>
        <w:spacing w:after="120"/>
        <w:ind w:left="426"/>
        <w:jc w:val="both"/>
        <w:rPr>
          <w:rFonts w:cstheme="minorHAnsi"/>
          <w:b/>
          <w:i/>
        </w:rPr>
      </w:pPr>
      <w:r w:rsidRPr="002F06B4">
        <w:rPr>
          <w:rFonts w:cstheme="minorHAnsi"/>
          <w:b/>
          <w:i/>
        </w:rPr>
        <w:t>Presencia de entidades del departamento.</w:t>
      </w:r>
    </w:p>
    <w:p w:rsidR="00F90D49" w:rsidRPr="002F06B4" w:rsidRDefault="00F90D49" w:rsidP="00B81236">
      <w:pPr>
        <w:spacing w:after="120"/>
        <w:ind w:left="426"/>
        <w:jc w:val="both"/>
        <w:rPr>
          <w:rFonts w:cstheme="minorHAnsi"/>
        </w:rPr>
      </w:pPr>
      <w:r w:rsidRPr="002F06B4">
        <w:rPr>
          <w:rFonts w:cstheme="minorHAnsi"/>
        </w:rPr>
        <w:t>La débil presencia de entidades que representan los intereses de Cochabamba, contribuyen a que el Proyecto Misicuni tenga serios problemas de Institucionalidad</w:t>
      </w:r>
    </w:p>
    <w:p w:rsidR="008D48B4" w:rsidRPr="002F06B4" w:rsidRDefault="008D48B4" w:rsidP="007069C5">
      <w:pPr>
        <w:pStyle w:val="Prrafodelista"/>
        <w:numPr>
          <w:ilvl w:val="0"/>
          <w:numId w:val="1"/>
        </w:numPr>
        <w:spacing w:before="240" w:after="120"/>
        <w:ind w:left="426" w:hanging="426"/>
        <w:jc w:val="both"/>
        <w:rPr>
          <w:rFonts w:cstheme="minorHAnsi"/>
          <w:b/>
        </w:rPr>
      </w:pPr>
      <w:r w:rsidRPr="002F06B4">
        <w:rPr>
          <w:rFonts w:cstheme="minorHAnsi"/>
          <w:b/>
        </w:rPr>
        <w:lastRenderedPageBreak/>
        <w:t>Proyecciones para el futuro.</w:t>
      </w:r>
    </w:p>
    <w:p w:rsidR="008D48B4" w:rsidRPr="002F06B4" w:rsidRDefault="00F90D49" w:rsidP="00F90D49">
      <w:pPr>
        <w:spacing w:after="120"/>
        <w:ind w:left="426"/>
        <w:jc w:val="both"/>
        <w:rPr>
          <w:rFonts w:cstheme="minorHAnsi"/>
        </w:rPr>
      </w:pPr>
      <w:r w:rsidRPr="002F06B4">
        <w:rPr>
          <w:rFonts w:cstheme="minorHAnsi"/>
        </w:rPr>
        <w:t xml:space="preserve">Para </w:t>
      </w:r>
      <w:r w:rsidR="008D48B4" w:rsidRPr="002F06B4">
        <w:rPr>
          <w:rFonts w:cstheme="minorHAnsi"/>
        </w:rPr>
        <w:t xml:space="preserve">completar el actual proyecto es necesario </w:t>
      </w:r>
      <w:r w:rsidRPr="002F06B4">
        <w:rPr>
          <w:rFonts w:cstheme="minorHAnsi"/>
        </w:rPr>
        <w:t xml:space="preserve">construir </w:t>
      </w:r>
      <w:r w:rsidR="008D48B4" w:rsidRPr="002F06B4">
        <w:rPr>
          <w:rFonts w:cstheme="minorHAnsi"/>
        </w:rPr>
        <w:t xml:space="preserve">el trasvase de aguas superficiales de las cuencas de Putucuni y Vizachas, lo que significa gestionar una inversión aproximada </w:t>
      </w:r>
      <w:r w:rsidRPr="002F06B4">
        <w:rPr>
          <w:rFonts w:cstheme="minorHAnsi"/>
        </w:rPr>
        <w:t xml:space="preserve">de </w:t>
      </w:r>
      <w:r w:rsidR="008D48B4" w:rsidRPr="002F06B4">
        <w:rPr>
          <w:rFonts w:cstheme="minorHAnsi"/>
        </w:rPr>
        <w:t>180 millones de dólares. El proceso de obtención de</w:t>
      </w:r>
      <w:r w:rsidRPr="002F06B4">
        <w:rPr>
          <w:rFonts w:cstheme="minorHAnsi"/>
        </w:rPr>
        <w:t xml:space="preserve"> estos recursos</w:t>
      </w:r>
      <w:r w:rsidR="00FD3D64" w:rsidRPr="002F06B4">
        <w:rPr>
          <w:rFonts w:cstheme="minorHAnsi"/>
        </w:rPr>
        <w:t xml:space="preserve"> y la construcción del trasvase </w:t>
      </w:r>
      <w:r w:rsidR="00C840B7" w:rsidRPr="002F06B4">
        <w:rPr>
          <w:rFonts w:cstheme="minorHAnsi"/>
        </w:rPr>
        <w:t>pueden</w:t>
      </w:r>
      <w:r w:rsidR="00FD3D64" w:rsidRPr="002F06B4">
        <w:rPr>
          <w:rFonts w:cstheme="minorHAnsi"/>
        </w:rPr>
        <w:t xml:space="preserve"> tomar </w:t>
      </w:r>
      <w:r w:rsidR="008D48B4" w:rsidRPr="002F06B4">
        <w:rPr>
          <w:rFonts w:cstheme="minorHAnsi"/>
        </w:rPr>
        <w:t xml:space="preserve">aproximadamente 8 años, por lo que </w:t>
      </w:r>
      <w:r w:rsidR="00FD3D64" w:rsidRPr="002F06B4">
        <w:rPr>
          <w:rFonts w:cstheme="minorHAnsi"/>
        </w:rPr>
        <w:t xml:space="preserve">las acciones </w:t>
      </w:r>
      <w:r w:rsidR="008D48B4" w:rsidRPr="002F06B4">
        <w:rPr>
          <w:rFonts w:cstheme="minorHAnsi"/>
        </w:rPr>
        <w:t>deben realizar</w:t>
      </w:r>
      <w:r w:rsidR="00FD3D64" w:rsidRPr="002F06B4">
        <w:rPr>
          <w:rFonts w:cstheme="minorHAnsi"/>
        </w:rPr>
        <w:t>se</w:t>
      </w:r>
      <w:r w:rsidR="008D48B4" w:rsidRPr="002F06B4">
        <w:rPr>
          <w:rFonts w:cstheme="minorHAnsi"/>
        </w:rPr>
        <w:t xml:space="preserve"> en forma inmediata.</w:t>
      </w:r>
    </w:p>
    <w:p w:rsidR="007069C5" w:rsidRPr="002F06B4" w:rsidRDefault="007069C5" w:rsidP="00F90D49">
      <w:pPr>
        <w:spacing w:after="120"/>
        <w:ind w:left="426"/>
        <w:jc w:val="both"/>
        <w:rPr>
          <w:rFonts w:cstheme="minorHAnsi"/>
        </w:rPr>
      </w:pPr>
    </w:p>
    <w:p w:rsidR="00C840B7" w:rsidRPr="002F06B4" w:rsidRDefault="00C840B7" w:rsidP="00F90D49">
      <w:pPr>
        <w:spacing w:after="120"/>
        <w:ind w:left="426"/>
        <w:jc w:val="both"/>
        <w:rPr>
          <w:rFonts w:cstheme="minorHAnsi"/>
        </w:rPr>
      </w:pPr>
    </w:p>
    <w:p w:rsidR="007069C5" w:rsidRPr="002F06B4" w:rsidRDefault="007069C5" w:rsidP="00F90D49">
      <w:pPr>
        <w:spacing w:after="120"/>
        <w:ind w:left="426"/>
        <w:jc w:val="both"/>
        <w:rPr>
          <w:rFonts w:cstheme="minorHAnsi"/>
        </w:rPr>
      </w:pPr>
    </w:p>
    <w:sectPr w:rsidR="007069C5" w:rsidRPr="002F06B4" w:rsidSect="004A2C09">
      <w:footerReference w:type="default" r:id="rId8"/>
      <w:pgSz w:w="12240" w:h="15840" w:code="1"/>
      <w:pgMar w:top="1276" w:right="1892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C09" w:rsidRDefault="00D32C09" w:rsidP="005E1DDC">
      <w:pPr>
        <w:spacing w:after="0" w:line="240" w:lineRule="auto"/>
      </w:pPr>
      <w:r>
        <w:separator/>
      </w:r>
    </w:p>
  </w:endnote>
  <w:endnote w:type="continuationSeparator" w:id="1">
    <w:p w:rsidR="00D32C09" w:rsidRDefault="00D32C09" w:rsidP="005E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214798"/>
      <w:docPartObj>
        <w:docPartGallery w:val="Page Numbers (Bottom of Page)"/>
        <w:docPartUnique/>
      </w:docPartObj>
    </w:sdtPr>
    <w:sdtContent>
      <w:sdt>
        <w:sdtPr>
          <w:id w:val="216747541"/>
          <w:docPartObj>
            <w:docPartGallery w:val="Page Numbers (Top of Page)"/>
            <w:docPartUnique/>
          </w:docPartObj>
        </w:sdtPr>
        <w:sdtContent>
          <w:p w:rsidR="004A2C09" w:rsidRDefault="004A2C09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06B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06B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2C09" w:rsidRDefault="004A2C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C09" w:rsidRDefault="00D32C09" w:rsidP="005E1DDC">
      <w:pPr>
        <w:spacing w:after="0" w:line="240" w:lineRule="auto"/>
      </w:pPr>
      <w:r>
        <w:separator/>
      </w:r>
    </w:p>
  </w:footnote>
  <w:footnote w:type="continuationSeparator" w:id="1">
    <w:p w:rsidR="00D32C09" w:rsidRDefault="00D32C09" w:rsidP="005E1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0C9"/>
    <w:multiLevelType w:val="hybridMultilevel"/>
    <w:tmpl w:val="18303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806C8"/>
    <w:multiLevelType w:val="hybridMultilevel"/>
    <w:tmpl w:val="C6FC486A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84C"/>
    <w:rsid w:val="000002F9"/>
    <w:rsid w:val="00000DCD"/>
    <w:rsid w:val="000106CA"/>
    <w:rsid w:val="00017338"/>
    <w:rsid w:val="0002016D"/>
    <w:rsid w:val="0002389A"/>
    <w:rsid w:val="000321F1"/>
    <w:rsid w:val="000418C6"/>
    <w:rsid w:val="0005199C"/>
    <w:rsid w:val="00053C13"/>
    <w:rsid w:val="00055EF2"/>
    <w:rsid w:val="00070656"/>
    <w:rsid w:val="00077445"/>
    <w:rsid w:val="00084700"/>
    <w:rsid w:val="00087C09"/>
    <w:rsid w:val="00097B66"/>
    <w:rsid w:val="000A7C70"/>
    <w:rsid w:val="000B1322"/>
    <w:rsid w:val="000B532E"/>
    <w:rsid w:val="000B7A0A"/>
    <w:rsid w:val="000C4D44"/>
    <w:rsid w:val="000C504E"/>
    <w:rsid w:val="000D4313"/>
    <w:rsid w:val="000D62B6"/>
    <w:rsid w:val="000E00D8"/>
    <w:rsid w:val="000E1927"/>
    <w:rsid w:val="000E2C3C"/>
    <w:rsid w:val="000E4367"/>
    <w:rsid w:val="000F4FC9"/>
    <w:rsid w:val="000F6C4D"/>
    <w:rsid w:val="00103DEF"/>
    <w:rsid w:val="00113C66"/>
    <w:rsid w:val="001179E7"/>
    <w:rsid w:val="0012135D"/>
    <w:rsid w:val="00124D33"/>
    <w:rsid w:val="00125B73"/>
    <w:rsid w:val="00130206"/>
    <w:rsid w:val="00137A32"/>
    <w:rsid w:val="0014288B"/>
    <w:rsid w:val="001440BF"/>
    <w:rsid w:val="001443B6"/>
    <w:rsid w:val="00146C67"/>
    <w:rsid w:val="00146D75"/>
    <w:rsid w:val="001470CA"/>
    <w:rsid w:val="00162E69"/>
    <w:rsid w:val="00165008"/>
    <w:rsid w:val="001741A0"/>
    <w:rsid w:val="0017665E"/>
    <w:rsid w:val="00180821"/>
    <w:rsid w:val="00192C2B"/>
    <w:rsid w:val="001B291F"/>
    <w:rsid w:val="001B3224"/>
    <w:rsid w:val="001B3878"/>
    <w:rsid w:val="001B59DE"/>
    <w:rsid w:val="001C6A4E"/>
    <w:rsid w:val="001C77D1"/>
    <w:rsid w:val="001C7C3F"/>
    <w:rsid w:val="001D0A88"/>
    <w:rsid w:val="001D16AA"/>
    <w:rsid w:val="001D6726"/>
    <w:rsid w:val="001D711F"/>
    <w:rsid w:val="001E489D"/>
    <w:rsid w:val="00205919"/>
    <w:rsid w:val="00207B7D"/>
    <w:rsid w:val="00211A5E"/>
    <w:rsid w:val="00233C0B"/>
    <w:rsid w:val="00236F45"/>
    <w:rsid w:val="002407D1"/>
    <w:rsid w:val="002439B6"/>
    <w:rsid w:val="00244775"/>
    <w:rsid w:val="00246B5A"/>
    <w:rsid w:val="00247E78"/>
    <w:rsid w:val="00250747"/>
    <w:rsid w:val="00263EE1"/>
    <w:rsid w:val="00280339"/>
    <w:rsid w:val="0028294C"/>
    <w:rsid w:val="002847C6"/>
    <w:rsid w:val="002A1FB4"/>
    <w:rsid w:val="002A393A"/>
    <w:rsid w:val="002A6A0A"/>
    <w:rsid w:val="002C633A"/>
    <w:rsid w:val="002D6DB8"/>
    <w:rsid w:val="002E1A64"/>
    <w:rsid w:val="002E55D9"/>
    <w:rsid w:val="002E701F"/>
    <w:rsid w:val="002F06B4"/>
    <w:rsid w:val="002F5780"/>
    <w:rsid w:val="002F5EED"/>
    <w:rsid w:val="003019FA"/>
    <w:rsid w:val="00315003"/>
    <w:rsid w:val="00322FD7"/>
    <w:rsid w:val="00324677"/>
    <w:rsid w:val="00326D0C"/>
    <w:rsid w:val="00332489"/>
    <w:rsid w:val="003328A5"/>
    <w:rsid w:val="0033401A"/>
    <w:rsid w:val="00334959"/>
    <w:rsid w:val="00336EA4"/>
    <w:rsid w:val="0035204D"/>
    <w:rsid w:val="00356817"/>
    <w:rsid w:val="00357659"/>
    <w:rsid w:val="003610AC"/>
    <w:rsid w:val="003630B6"/>
    <w:rsid w:val="00365C06"/>
    <w:rsid w:val="00373B7D"/>
    <w:rsid w:val="00381489"/>
    <w:rsid w:val="00383422"/>
    <w:rsid w:val="00397AA3"/>
    <w:rsid w:val="003A166B"/>
    <w:rsid w:val="003B3DEB"/>
    <w:rsid w:val="003D5B20"/>
    <w:rsid w:val="003D6BCF"/>
    <w:rsid w:val="003E03C8"/>
    <w:rsid w:val="003E6E2C"/>
    <w:rsid w:val="0040572C"/>
    <w:rsid w:val="00410E0D"/>
    <w:rsid w:val="004154D2"/>
    <w:rsid w:val="00416679"/>
    <w:rsid w:val="004250DB"/>
    <w:rsid w:val="00446956"/>
    <w:rsid w:val="004573A9"/>
    <w:rsid w:val="00467B6D"/>
    <w:rsid w:val="00480859"/>
    <w:rsid w:val="004906A9"/>
    <w:rsid w:val="00492023"/>
    <w:rsid w:val="00493723"/>
    <w:rsid w:val="004A210B"/>
    <w:rsid w:val="004A2C09"/>
    <w:rsid w:val="004A5EE5"/>
    <w:rsid w:val="004A6FA1"/>
    <w:rsid w:val="004B00E5"/>
    <w:rsid w:val="004C1948"/>
    <w:rsid w:val="004C1969"/>
    <w:rsid w:val="004C2C45"/>
    <w:rsid w:val="004C2D52"/>
    <w:rsid w:val="004D744E"/>
    <w:rsid w:val="004E2D84"/>
    <w:rsid w:val="004E5684"/>
    <w:rsid w:val="004F4081"/>
    <w:rsid w:val="00503505"/>
    <w:rsid w:val="0050505C"/>
    <w:rsid w:val="005110E1"/>
    <w:rsid w:val="00513972"/>
    <w:rsid w:val="005156B4"/>
    <w:rsid w:val="0052179D"/>
    <w:rsid w:val="00523BAC"/>
    <w:rsid w:val="005348BB"/>
    <w:rsid w:val="00536015"/>
    <w:rsid w:val="00537D83"/>
    <w:rsid w:val="00565A3B"/>
    <w:rsid w:val="005726F6"/>
    <w:rsid w:val="005749E8"/>
    <w:rsid w:val="00586517"/>
    <w:rsid w:val="00591FC4"/>
    <w:rsid w:val="00592435"/>
    <w:rsid w:val="0059771C"/>
    <w:rsid w:val="005A201B"/>
    <w:rsid w:val="005A2070"/>
    <w:rsid w:val="005A299B"/>
    <w:rsid w:val="005A5DA1"/>
    <w:rsid w:val="005C57EA"/>
    <w:rsid w:val="005C65B3"/>
    <w:rsid w:val="005D5B41"/>
    <w:rsid w:val="005E10F9"/>
    <w:rsid w:val="005E1DDC"/>
    <w:rsid w:val="00602DA6"/>
    <w:rsid w:val="0060710C"/>
    <w:rsid w:val="00607431"/>
    <w:rsid w:val="00617CE1"/>
    <w:rsid w:val="00621CE9"/>
    <w:rsid w:val="00631114"/>
    <w:rsid w:val="00633E13"/>
    <w:rsid w:val="00634714"/>
    <w:rsid w:val="00657D39"/>
    <w:rsid w:val="006608CE"/>
    <w:rsid w:val="00662EC0"/>
    <w:rsid w:val="00667299"/>
    <w:rsid w:val="0067604D"/>
    <w:rsid w:val="00680F5E"/>
    <w:rsid w:val="006A0B37"/>
    <w:rsid w:val="006A179D"/>
    <w:rsid w:val="006A597A"/>
    <w:rsid w:val="006A67E9"/>
    <w:rsid w:val="006A723A"/>
    <w:rsid w:val="006C284F"/>
    <w:rsid w:val="006C2E49"/>
    <w:rsid w:val="006D4A24"/>
    <w:rsid w:val="006D704A"/>
    <w:rsid w:val="006D7C67"/>
    <w:rsid w:val="006E0F43"/>
    <w:rsid w:val="006E1ADF"/>
    <w:rsid w:val="006F078B"/>
    <w:rsid w:val="00703AA0"/>
    <w:rsid w:val="007069C5"/>
    <w:rsid w:val="00707347"/>
    <w:rsid w:val="00716E85"/>
    <w:rsid w:val="00735554"/>
    <w:rsid w:val="00744892"/>
    <w:rsid w:val="00745007"/>
    <w:rsid w:val="00751CE2"/>
    <w:rsid w:val="0075260A"/>
    <w:rsid w:val="00761E04"/>
    <w:rsid w:val="00761F21"/>
    <w:rsid w:val="00762495"/>
    <w:rsid w:val="00776877"/>
    <w:rsid w:val="00776A2A"/>
    <w:rsid w:val="007814B8"/>
    <w:rsid w:val="00781FEF"/>
    <w:rsid w:val="00795EF4"/>
    <w:rsid w:val="007A1DD0"/>
    <w:rsid w:val="007A7274"/>
    <w:rsid w:val="007B48D7"/>
    <w:rsid w:val="007C045A"/>
    <w:rsid w:val="007C05D3"/>
    <w:rsid w:val="007C0F27"/>
    <w:rsid w:val="007C34B7"/>
    <w:rsid w:val="007E70BA"/>
    <w:rsid w:val="007F27BB"/>
    <w:rsid w:val="007F39DE"/>
    <w:rsid w:val="007F50E4"/>
    <w:rsid w:val="0081013C"/>
    <w:rsid w:val="00817961"/>
    <w:rsid w:val="00825ECC"/>
    <w:rsid w:val="00827851"/>
    <w:rsid w:val="00843569"/>
    <w:rsid w:val="0084488A"/>
    <w:rsid w:val="008455D2"/>
    <w:rsid w:val="00862AC1"/>
    <w:rsid w:val="00867E09"/>
    <w:rsid w:val="00870D38"/>
    <w:rsid w:val="008761D8"/>
    <w:rsid w:val="00877B50"/>
    <w:rsid w:val="0089109B"/>
    <w:rsid w:val="008A1646"/>
    <w:rsid w:val="008A6291"/>
    <w:rsid w:val="008C3EB9"/>
    <w:rsid w:val="008D47A5"/>
    <w:rsid w:val="008D48B4"/>
    <w:rsid w:val="008D61DC"/>
    <w:rsid w:val="008E041F"/>
    <w:rsid w:val="008E12A5"/>
    <w:rsid w:val="008E225F"/>
    <w:rsid w:val="008F66B8"/>
    <w:rsid w:val="0091279D"/>
    <w:rsid w:val="0091283E"/>
    <w:rsid w:val="009130CD"/>
    <w:rsid w:val="00915AF0"/>
    <w:rsid w:val="009271C7"/>
    <w:rsid w:val="00931CBA"/>
    <w:rsid w:val="00933409"/>
    <w:rsid w:val="0093380C"/>
    <w:rsid w:val="009349C8"/>
    <w:rsid w:val="009379D7"/>
    <w:rsid w:val="00942F5E"/>
    <w:rsid w:val="00950B37"/>
    <w:rsid w:val="00950C38"/>
    <w:rsid w:val="00962DD6"/>
    <w:rsid w:val="00963AEB"/>
    <w:rsid w:val="00967003"/>
    <w:rsid w:val="0097289F"/>
    <w:rsid w:val="009778C3"/>
    <w:rsid w:val="009836AC"/>
    <w:rsid w:val="009A1FA8"/>
    <w:rsid w:val="009A687B"/>
    <w:rsid w:val="009A768D"/>
    <w:rsid w:val="009B1E84"/>
    <w:rsid w:val="009B30D5"/>
    <w:rsid w:val="009B5A97"/>
    <w:rsid w:val="009C4880"/>
    <w:rsid w:val="009D1C59"/>
    <w:rsid w:val="009D7540"/>
    <w:rsid w:val="009E343B"/>
    <w:rsid w:val="009F27FE"/>
    <w:rsid w:val="009F3074"/>
    <w:rsid w:val="009F70FA"/>
    <w:rsid w:val="00A01BDE"/>
    <w:rsid w:val="00A0262B"/>
    <w:rsid w:val="00A02914"/>
    <w:rsid w:val="00A0658A"/>
    <w:rsid w:val="00A06EAC"/>
    <w:rsid w:val="00A1799E"/>
    <w:rsid w:val="00A255E4"/>
    <w:rsid w:val="00A27625"/>
    <w:rsid w:val="00A30D7D"/>
    <w:rsid w:val="00A334BA"/>
    <w:rsid w:val="00A35DD4"/>
    <w:rsid w:val="00A46C36"/>
    <w:rsid w:val="00A54EB5"/>
    <w:rsid w:val="00A55E4E"/>
    <w:rsid w:val="00A7375A"/>
    <w:rsid w:val="00AA78ED"/>
    <w:rsid w:val="00AB3663"/>
    <w:rsid w:val="00AD6A0B"/>
    <w:rsid w:val="00AE536C"/>
    <w:rsid w:val="00AE7754"/>
    <w:rsid w:val="00AF4477"/>
    <w:rsid w:val="00B04ECA"/>
    <w:rsid w:val="00B066A4"/>
    <w:rsid w:val="00B2072E"/>
    <w:rsid w:val="00B2363D"/>
    <w:rsid w:val="00B3020E"/>
    <w:rsid w:val="00B31FC3"/>
    <w:rsid w:val="00B34ECE"/>
    <w:rsid w:val="00B46A39"/>
    <w:rsid w:val="00B55CCB"/>
    <w:rsid w:val="00B57733"/>
    <w:rsid w:val="00B65040"/>
    <w:rsid w:val="00B65703"/>
    <w:rsid w:val="00B65880"/>
    <w:rsid w:val="00B7749A"/>
    <w:rsid w:val="00B804D2"/>
    <w:rsid w:val="00B80CE3"/>
    <w:rsid w:val="00B81236"/>
    <w:rsid w:val="00B87ED7"/>
    <w:rsid w:val="00B93B65"/>
    <w:rsid w:val="00BA6380"/>
    <w:rsid w:val="00BB0FDD"/>
    <w:rsid w:val="00BB553C"/>
    <w:rsid w:val="00BC0D6A"/>
    <w:rsid w:val="00BC152B"/>
    <w:rsid w:val="00BC6E2E"/>
    <w:rsid w:val="00C01A1E"/>
    <w:rsid w:val="00C06AC7"/>
    <w:rsid w:val="00C115DA"/>
    <w:rsid w:val="00C41A5D"/>
    <w:rsid w:val="00C461C0"/>
    <w:rsid w:val="00C625BD"/>
    <w:rsid w:val="00C65052"/>
    <w:rsid w:val="00C65338"/>
    <w:rsid w:val="00C65787"/>
    <w:rsid w:val="00C707DA"/>
    <w:rsid w:val="00C70CE1"/>
    <w:rsid w:val="00C753A3"/>
    <w:rsid w:val="00C840B7"/>
    <w:rsid w:val="00C847AE"/>
    <w:rsid w:val="00C928A8"/>
    <w:rsid w:val="00C93072"/>
    <w:rsid w:val="00CA0E70"/>
    <w:rsid w:val="00CA3B06"/>
    <w:rsid w:val="00CA7FDD"/>
    <w:rsid w:val="00CB0001"/>
    <w:rsid w:val="00CB237A"/>
    <w:rsid w:val="00CB26CD"/>
    <w:rsid w:val="00CE3BE8"/>
    <w:rsid w:val="00CF5675"/>
    <w:rsid w:val="00CF7D93"/>
    <w:rsid w:val="00D16C94"/>
    <w:rsid w:val="00D178B3"/>
    <w:rsid w:val="00D26B74"/>
    <w:rsid w:val="00D277A0"/>
    <w:rsid w:val="00D3130D"/>
    <w:rsid w:val="00D31CCD"/>
    <w:rsid w:val="00D32C09"/>
    <w:rsid w:val="00D37C8E"/>
    <w:rsid w:val="00D4418C"/>
    <w:rsid w:val="00D546FD"/>
    <w:rsid w:val="00D775E6"/>
    <w:rsid w:val="00D82AA0"/>
    <w:rsid w:val="00D84D09"/>
    <w:rsid w:val="00D86123"/>
    <w:rsid w:val="00DA37EB"/>
    <w:rsid w:val="00DA5D00"/>
    <w:rsid w:val="00DA7790"/>
    <w:rsid w:val="00DB3DCA"/>
    <w:rsid w:val="00DB73F8"/>
    <w:rsid w:val="00DC39B0"/>
    <w:rsid w:val="00DC54DF"/>
    <w:rsid w:val="00DE29FE"/>
    <w:rsid w:val="00DE5F4F"/>
    <w:rsid w:val="00DE6D02"/>
    <w:rsid w:val="00DF12F3"/>
    <w:rsid w:val="00DF1E6A"/>
    <w:rsid w:val="00DF45FF"/>
    <w:rsid w:val="00DF4AA4"/>
    <w:rsid w:val="00DF539C"/>
    <w:rsid w:val="00DF7BEC"/>
    <w:rsid w:val="00E0712D"/>
    <w:rsid w:val="00E1752E"/>
    <w:rsid w:val="00E24C05"/>
    <w:rsid w:val="00E31BB5"/>
    <w:rsid w:val="00E32CF3"/>
    <w:rsid w:val="00E3531F"/>
    <w:rsid w:val="00E4376D"/>
    <w:rsid w:val="00E47082"/>
    <w:rsid w:val="00E56591"/>
    <w:rsid w:val="00E5667A"/>
    <w:rsid w:val="00E64BF0"/>
    <w:rsid w:val="00E65DB2"/>
    <w:rsid w:val="00E66E21"/>
    <w:rsid w:val="00E70699"/>
    <w:rsid w:val="00E85414"/>
    <w:rsid w:val="00EB0E27"/>
    <w:rsid w:val="00EB363B"/>
    <w:rsid w:val="00EC084C"/>
    <w:rsid w:val="00EC6DFF"/>
    <w:rsid w:val="00ED08F4"/>
    <w:rsid w:val="00EE58E8"/>
    <w:rsid w:val="00EF17A1"/>
    <w:rsid w:val="00EF2DE3"/>
    <w:rsid w:val="00EF3F51"/>
    <w:rsid w:val="00EF6698"/>
    <w:rsid w:val="00EF7F82"/>
    <w:rsid w:val="00F040BB"/>
    <w:rsid w:val="00F13E0C"/>
    <w:rsid w:val="00F215F6"/>
    <w:rsid w:val="00F23964"/>
    <w:rsid w:val="00F405D5"/>
    <w:rsid w:val="00F5138B"/>
    <w:rsid w:val="00F5622E"/>
    <w:rsid w:val="00F67596"/>
    <w:rsid w:val="00F67F5B"/>
    <w:rsid w:val="00F7728F"/>
    <w:rsid w:val="00F80DFF"/>
    <w:rsid w:val="00F90D49"/>
    <w:rsid w:val="00FA490F"/>
    <w:rsid w:val="00FA6F7C"/>
    <w:rsid w:val="00FB1B38"/>
    <w:rsid w:val="00FB48AE"/>
    <w:rsid w:val="00FC582A"/>
    <w:rsid w:val="00FD19E6"/>
    <w:rsid w:val="00FD3D64"/>
    <w:rsid w:val="00FE218E"/>
    <w:rsid w:val="00FF0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0E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8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E1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1DDC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5E1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DDC"/>
    <w:rPr>
      <w:lang w:val="es-B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668E-914A-4BF3-98BF-0D0A9434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2023-04-18T21:28:00Z</dcterms:created>
  <dcterms:modified xsi:type="dcterms:W3CDTF">2023-04-18T21:28:00Z</dcterms:modified>
</cp:coreProperties>
</file>